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2DE2"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20C83E93"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3D155077"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75BCAE82"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627FA3CA"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55BB723E"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131AAA04"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00F907BD"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6CAA9E8C"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6891463D"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28406E66"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4AD80988"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5CF2956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61595E16"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3C7B6682"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65184E02"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7075993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6A82A6F1"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314B69F5"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352C9FE4"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0BFEB709" w14:textId="77777777" w:rsidR="00913BB3" w:rsidRDefault="00913BB3" w:rsidP="00687C7F">
      <w:pPr>
        <w:jc w:val="both"/>
        <w:rPr>
          <w:rFonts w:asciiTheme="majorBidi" w:hAnsiTheme="majorBidi" w:cstheme="majorBidi"/>
        </w:rPr>
      </w:pPr>
      <w:r>
        <w:rPr>
          <w:rFonts w:asciiTheme="majorBidi" w:hAnsiTheme="majorBidi" w:cstheme="majorBidi"/>
        </w:rPr>
        <w:t>(1)</w:t>
      </w:r>
    </w:p>
    <w:p w14:paraId="45C09981"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08CDBD69" w14:textId="77777777" w:rsidR="00687C7F" w:rsidRPr="00687C7F" w:rsidRDefault="00687C7F" w:rsidP="00687C7F">
      <w:pPr>
        <w:jc w:val="both"/>
        <w:rPr>
          <w:rFonts w:asciiTheme="majorBidi" w:hAnsiTheme="majorBidi" w:cstheme="majorBidi"/>
          <w:b/>
          <w:bCs/>
        </w:rPr>
      </w:pPr>
    </w:p>
    <w:p w14:paraId="57E82CED"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01105A64"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6B685D15" w14:textId="77777777" w:rsidR="00687C7F" w:rsidRPr="00687C7F" w:rsidRDefault="00687C7F" w:rsidP="00687C7F">
      <w:pPr>
        <w:jc w:val="both"/>
        <w:rPr>
          <w:rFonts w:asciiTheme="majorBidi" w:hAnsiTheme="majorBidi" w:cstheme="majorBidi"/>
        </w:rPr>
      </w:pPr>
    </w:p>
    <w:p w14:paraId="1DC7D5A9" w14:textId="77777777" w:rsidR="00687C7F" w:rsidRPr="00687C7F" w:rsidRDefault="00687C7F" w:rsidP="00687C7F">
      <w:pPr>
        <w:jc w:val="both"/>
        <w:rPr>
          <w:rFonts w:asciiTheme="majorBidi" w:eastAsia="Times New Roman" w:hAnsiTheme="majorBidi" w:cstheme="majorBidi"/>
          <w:b/>
          <w:bCs/>
          <w:sz w:val="22"/>
          <w:lang w:eastAsia="de-DE"/>
        </w:rPr>
      </w:pPr>
    </w:p>
    <w:p w14:paraId="165C6A1F"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29CBF1B3"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5FE3CD"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B326AF"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DFE11C"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3D3510EB"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0423B1"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D9F19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16728C"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2B047D61"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D6D9B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6B333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98E135"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2CF0C487"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4AC4E2"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6FF95A"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BDD713"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2BB0339B" w14:textId="77777777" w:rsidR="00687C7F" w:rsidRPr="00687C7F" w:rsidRDefault="00687C7F" w:rsidP="00687C7F">
      <w:pPr>
        <w:jc w:val="both"/>
        <w:rPr>
          <w:rFonts w:asciiTheme="majorBidi" w:hAnsiTheme="majorBidi" w:cstheme="majorBidi"/>
        </w:rPr>
      </w:pPr>
    </w:p>
    <w:p w14:paraId="21B87C81" w14:textId="77777777" w:rsidR="00383F0F" w:rsidRPr="00687C7F" w:rsidRDefault="00383F0F" w:rsidP="00687C7F">
      <w:pPr>
        <w:jc w:val="both"/>
        <w:rPr>
          <w:rFonts w:asciiTheme="majorBidi" w:hAnsiTheme="majorBidi" w:cstheme="majorBidi"/>
        </w:rPr>
      </w:pPr>
    </w:p>
    <w:p w14:paraId="3D8D275F"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3130093B" wp14:editId="1ADEF860">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6B2C3E6D"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1B63D06A" w14:textId="77777777" w:rsidR="00383F0F" w:rsidRPr="00687C7F" w:rsidRDefault="00383F0F" w:rsidP="00687C7F">
      <w:pPr>
        <w:jc w:val="both"/>
        <w:rPr>
          <w:rFonts w:asciiTheme="majorBidi" w:hAnsiTheme="majorBidi" w:cstheme="majorBidi"/>
          <w:b/>
          <w:bCs/>
          <w:sz w:val="22"/>
          <w:szCs w:val="20"/>
        </w:rPr>
      </w:pPr>
    </w:p>
    <w:p w14:paraId="5F3F2CE0"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15A97A53"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21C679AD"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5636AC2D"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0A781B62"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3CBF3AB2"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0F3B8C11"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7A79340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16CCDD50"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4C52FC89"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26AEEFA2"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202BE7DB"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4F6A7368"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41DA351F"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6B34C605"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629D8CE6"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513340B9" w14:textId="77777777" w:rsidR="00E01F49" w:rsidRDefault="00E01F49" w:rsidP="00655BFE">
      <w:pPr>
        <w:jc w:val="both"/>
        <w:rPr>
          <w:rFonts w:asciiTheme="majorBidi" w:hAnsiTheme="majorBidi" w:cstheme="majorBidi"/>
          <w:rtl/>
        </w:rPr>
      </w:pPr>
    </w:p>
    <w:p w14:paraId="3646EC00" w14:textId="77777777" w:rsidR="00E01F49" w:rsidRDefault="00E01F49" w:rsidP="00655BFE">
      <w:pPr>
        <w:jc w:val="both"/>
        <w:rPr>
          <w:rFonts w:asciiTheme="majorBidi" w:hAnsiTheme="majorBidi" w:cstheme="majorBidi"/>
          <w:rtl/>
        </w:rPr>
      </w:pPr>
    </w:p>
    <w:p w14:paraId="59D879F7" w14:textId="77777777" w:rsidR="00E01F49" w:rsidRDefault="00E01F49" w:rsidP="00655BFE">
      <w:pPr>
        <w:jc w:val="both"/>
        <w:rPr>
          <w:rFonts w:asciiTheme="majorBidi" w:hAnsiTheme="majorBidi" w:cstheme="majorBidi"/>
          <w:rtl/>
        </w:rPr>
      </w:pPr>
    </w:p>
    <w:p w14:paraId="60CBDAE3" w14:textId="77777777" w:rsidR="00FB33D3" w:rsidRDefault="00FB33D3" w:rsidP="00655BFE">
      <w:pPr>
        <w:jc w:val="both"/>
        <w:rPr>
          <w:rFonts w:asciiTheme="majorBidi" w:hAnsiTheme="majorBidi" w:cstheme="majorBidi"/>
          <w:rtl/>
        </w:rPr>
      </w:pPr>
    </w:p>
    <w:p w14:paraId="07990E5C" w14:textId="77777777" w:rsidR="00FB33D3" w:rsidRDefault="00FB33D3" w:rsidP="00655BFE">
      <w:pPr>
        <w:jc w:val="both"/>
        <w:rPr>
          <w:rFonts w:asciiTheme="majorBidi" w:hAnsiTheme="majorBidi" w:cstheme="majorBidi"/>
          <w:rtl/>
        </w:rPr>
      </w:pPr>
    </w:p>
    <w:p w14:paraId="15C89560" w14:textId="77777777" w:rsidR="00FB33D3" w:rsidRDefault="00FB33D3" w:rsidP="00655BFE">
      <w:pPr>
        <w:jc w:val="both"/>
        <w:rPr>
          <w:rFonts w:asciiTheme="majorBidi" w:hAnsiTheme="majorBidi" w:cstheme="majorBidi"/>
          <w:rtl/>
        </w:rPr>
      </w:pPr>
    </w:p>
    <w:p w14:paraId="4B172EF5" w14:textId="77777777" w:rsidR="00FB33D3" w:rsidRDefault="00FB33D3" w:rsidP="00655BFE">
      <w:pPr>
        <w:jc w:val="both"/>
        <w:rPr>
          <w:rFonts w:asciiTheme="majorBidi" w:hAnsiTheme="majorBidi" w:cstheme="majorBidi"/>
          <w:rtl/>
        </w:rPr>
      </w:pPr>
    </w:p>
    <w:p w14:paraId="537157DA" w14:textId="77777777" w:rsidR="00E01F49" w:rsidRDefault="00E01F49" w:rsidP="00655BFE">
      <w:pPr>
        <w:jc w:val="both"/>
        <w:rPr>
          <w:rFonts w:asciiTheme="majorBidi" w:hAnsiTheme="majorBidi" w:cstheme="majorBidi"/>
          <w:rtl/>
        </w:rPr>
      </w:pPr>
    </w:p>
    <w:p w14:paraId="3E4420C9"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3AEF05CE" w14:textId="77777777" w:rsidTr="00FB50E0">
        <w:trPr>
          <w:trHeight w:val="398"/>
          <w:jc w:val="center"/>
        </w:trPr>
        <w:tc>
          <w:tcPr>
            <w:tcW w:w="2320" w:type="dxa"/>
            <w:vAlign w:val="center"/>
          </w:tcPr>
          <w:p w14:paraId="56AA89A6"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676F7BD8"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39FDFAAB" w14:textId="77777777" w:rsidTr="00FB50E0">
        <w:trPr>
          <w:trHeight w:val="377"/>
          <w:jc w:val="center"/>
        </w:trPr>
        <w:tc>
          <w:tcPr>
            <w:tcW w:w="2320" w:type="dxa"/>
            <w:vAlign w:val="center"/>
          </w:tcPr>
          <w:p w14:paraId="7EBE7EBB"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6D10D666"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4566B7B7" w14:textId="77777777" w:rsidTr="00FB50E0">
        <w:trPr>
          <w:trHeight w:val="377"/>
          <w:jc w:val="center"/>
        </w:trPr>
        <w:tc>
          <w:tcPr>
            <w:tcW w:w="2320" w:type="dxa"/>
            <w:vAlign w:val="center"/>
          </w:tcPr>
          <w:p w14:paraId="5F865673"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3FAF5BEF"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1B9986A7" w14:textId="77777777" w:rsidTr="00FB50E0">
        <w:trPr>
          <w:trHeight w:val="377"/>
          <w:jc w:val="center"/>
        </w:trPr>
        <w:tc>
          <w:tcPr>
            <w:tcW w:w="2320" w:type="dxa"/>
            <w:vAlign w:val="center"/>
          </w:tcPr>
          <w:p w14:paraId="10A2C3CC"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4F3E1431"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56EBC5D5" w14:textId="77777777" w:rsidTr="00FB50E0">
        <w:trPr>
          <w:trHeight w:val="377"/>
          <w:jc w:val="center"/>
        </w:trPr>
        <w:tc>
          <w:tcPr>
            <w:tcW w:w="2320" w:type="dxa"/>
            <w:vAlign w:val="center"/>
          </w:tcPr>
          <w:p w14:paraId="6BCF68E4"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0EF7E3D3"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7EFF2852" w14:textId="77777777" w:rsidTr="00FB50E0">
        <w:trPr>
          <w:trHeight w:val="377"/>
          <w:jc w:val="center"/>
        </w:trPr>
        <w:tc>
          <w:tcPr>
            <w:tcW w:w="2320" w:type="dxa"/>
            <w:vAlign w:val="center"/>
          </w:tcPr>
          <w:p w14:paraId="2E114E5A"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68F7A198"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5EDB558B" w14:textId="77777777" w:rsidTr="00FB50E0">
        <w:trPr>
          <w:trHeight w:val="377"/>
          <w:jc w:val="center"/>
        </w:trPr>
        <w:tc>
          <w:tcPr>
            <w:tcW w:w="2320" w:type="dxa"/>
            <w:vAlign w:val="center"/>
          </w:tcPr>
          <w:p w14:paraId="1DBAC568"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2133E4C0"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51AFD43D" w14:textId="77777777" w:rsidTr="00FB50E0">
        <w:trPr>
          <w:trHeight w:val="377"/>
          <w:jc w:val="center"/>
        </w:trPr>
        <w:tc>
          <w:tcPr>
            <w:tcW w:w="2320" w:type="dxa"/>
            <w:vAlign w:val="center"/>
          </w:tcPr>
          <w:p w14:paraId="1F6D8D64"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48D5EB4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531E040E" w14:textId="77777777" w:rsidTr="00FB50E0">
        <w:trPr>
          <w:trHeight w:val="377"/>
          <w:jc w:val="center"/>
        </w:trPr>
        <w:tc>
          <w:tcPr>
            <w:tcW w:w="2320" w:type="dxa"/>
            <w:vAlign w:val="center"/>
          </w:tcPr>
          <w:p w14:paraId="616E1302"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56DC0E50"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685922C4" w14:textId="77777777" w:rsidTr="00FB50E0">
        <w:trPr>
          <w:trHeight w:val="377"/>
          <w:jc w:val="center"/>
        </w:trPr>
        <w:tc>
          <w:tcPr>
            <w:tcW w:w="2320" w:type="dxa"/>
            <w:vAlign w:val="center"/>
          </w:tcPr>
          <w:p w14:paraId="418E63A1"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0E90E97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5249CA88" w14:textId="77777777" w:rsidTr="00FB50E0">
        <w:trPr>
          <w:trHeight w:val="398"/>
          <w:jc w:val="center"/>
        </w:trPr>
        <w:tc>
          <w:tcPr>
            <w:tcW w:w="2320" w:type="dxa"/>
            <w:vAlign w:val="center"/>
          </w:tcPr>
          <w:p w14:paraId="3E979D4F"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597AACF3"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73EB9E97" w14:textId="77777777" w:rsidR="000571F0" w:rsidRPr="00687C7F" w:rsidRDefault="000571F0" w:rsidP="00687C7F">
      <w:pPr>
        <w:jc w:val="both"/>
        <w:rPr>
          <w:rFonts w:asciiTheme="majorBidi" w:hAnsiTheme="majorBidi" w:cstheme="majorBidi"/>
        </w:rPr>
      </w:pPr>
    </w:p>
    <w:sectPr w:rsidR="000571F0" w:rsidRPr="00687C7F"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CCA8" w14:textId="77777777" w:rsidR="00D26D7A" w:rsidRDefault="00D26D7A" w:rsidP="00FA7B09">
      <w:pPr>
        <w:spacing w:after="0" w:line="240" w:lineRule="auto"/>
      </w:pPr>
      <w:r>
        <w:separator/>
      </w:r>
    </w:p>
  </w:endnote>
  <w:endnote w:type="continuationSeparator" w:id="0">
    <w:p w14:paraId="5307A319" w14:textId="77777777" w:rsidR="00D26D7A" w:rsidRDefault="00D26D7A"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64AF" w14:textId="77777777" w:rsidR="00314C39" w:rsidRDefault="00314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AA1A" w14:textId="77777777" w:rsidR="00314C39" w:rsidRDefault="00314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7417" w14:textId="77777777" w:rsidR="00314C39" w:rsidRDefault="00314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B482" w14:textId="77777777" w:rsidR="00D26D7A" w:rsidRDefault="00D26D7A" w:rsidP="00FA7B09">
      <w:pPr>
        <w:spacing w:after="0" w:line="240" w:lineRule="auto"/>
      </w:pPr>
      <w:r>
        <w:separator/>
      </w:r>
    </w:p>
  </w:footnote>
  <w:footnote w:type="continuationSeparator" w:id="0">
    <w:p w14:paraId="03651FC9" w14:textId="77777777" w:rsidR="00D26D7A" w:rsidRDefault="00D26D7A"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9CC6" w14:textId="77777777" w:rsidR="00314C39" w:rsidRDefault="00314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FC90" w14:textId="41D1ABFB" w:rsidR="00FA7B09" w:rsidRDefault="00314C39" w:rsidP="00314C39">
    <w:pPr>
      <w:pStyle w:val="Header"/>
    </w:pPr>
    <w:r>
      <w:rPr>
        <w:noProof/>
      </w:rPr>
      <w:drawing>
        <wp:anchor distT="0" distB="0" distL="114300" distR="114300" simplePos="0" relativeHeight="251658240" behindDoc="1" locked="0" layoutInCell="1" allowOverlap="1" wp14:anchorId="3227C750" wp14:editId="0D2BA839">
          <wp:simplePos x="0" y="0"/>
          <wp:positionH relativeFrom="column">
            <wp:posOffset>-1143000</wp:posOffset>
          </wp:positionH>
          <wp:positionV relativeFrom="paragraph">
            <wp:posOffset>-457200</wp:posOffset>
          </wp:positionV>
          <wp:extent cx="7772400" cy="1486535"/>
          <wp:effectExtent l="0" t="0" r="0" b="0"/>
          <wp:wrapTight wrapText="bothSides">
            <wp:wrapPolygon edited="0">
              <wp:start x="0" y="0"/>
              <wp:lineTo x="0" y="21314"/>
              <wp:lineTo x="21547" y="21314"/>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86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0197" w14:textId="77777777" w:rsidR="00314C39" w:rsidRDefault="00314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1F0"/>
    <w:rsid w:val="0006063C"/>
    <w:rsid w:val="0015074B"/>
    <w:rsid w:val="0029639D"/>
    <w:rsid w:val="00314C39"/>
    <w:rsid w:val="00326F90"/>
    <w:rsid w:val="00383F0F"/>
    <w:rsid w:val="00404B2F"/>
    <w:rsid w:val="00655BFE"/>
    <w:rsid w:val="00687C7F"/>
    <w:rsid w:val="00694E62"/>
    <w:rsid w:val="00913BB3"/>
    <w:rsid w:val="009440B3"/>
    <w:rsid w:val="009E4002"/>
    <w:rsid w:val="009E7020"/>
    <w:rsid w:val="00AA1D8D"/>
    <w:rsid w:val="00B47730"/>
    <w:rsid w:val="00CB0664"/>
    <w:rsid w:val="00D26D7A"/>
    <w:rsid w:val="00D3645F"/>
    <w:rsid w:val="00D476E3"/>
    <w:rsid w:val="00E01F49"/>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07FCB"/>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FD7F-28A3-4042-BEB1-73D67CB3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11</cp:revision>
  <dcterms:created xsi:type="dcterms:W3CDTF">2013-12-23T23:15:00Z</dcterms:created>
  <dcterms:modified xsi:type="dcterms:W3CDTF">2026-01-24T12:45:00Z</dcterms:modified>
  <cp:category/>
</cp:coreProperties>
</file>